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99" w:rsidRDefault="00E87B99" w:rsidP="00E87B99">
      <w:pPr>
        <w:spacing w:after="0" w:line="240" w:lineRule="auto"/>
        <w:ind w:left="5670"/>
      </w:pPr>
      <w:r>
        <w:rPr>
          <w:i/>
        </w:rPr>
        <w:t>P</w:t>
      </w:r>
      <w:bookmarkStart w:id="0" w:name="_Ref60441210"/>
      <w:bookmarkEnd w:id="0"/>
      <w:r>
        <w:rPr>
          <w:i/>
        </w:rPr>
        <w:t>ATVIRTINTA</w:t>
      </w:r>
    </w:p>
    <w:p w:rsidR="00E87B99" w:rsidRDefault="00E87B99" w:rsidP="00E87B99">
      <w:pPr>
        <w:shd w:val="clear" w:color="auto" w:fill="FFFFFF"/>
        <w:tabs>
          <w:tab w:val="right" w:leader="underscore" w:pos="8640"/>
        </w:tabs>
        <w:spacing w:after="0" w:line="240" w:lineRule="auto"/>
        <w:ind w:left="5670"/>
        <w:jc w:val="both"/>
        <w:rPr>
          <w:b/>
          <w:i/>
        </w:rPr>
      </w:pPr>
      <w:r>
        <w:t>Uždarosios akcinės bendrovės „Širvintų vandenys“ V</w:t>
      </w:r>
      <w:r w:rsidR="004234ED">
        <w:t>iešųjų pirkimo komisijos 2017</w:t>
      </w:r>
      <w:r w:rsidR="00F063C1">
        <w:t xml:space="preserve">-11-07 </w:t>
      </w:r>
      <w:bookmarkStart w:id="1" w:name="_GoBack"/>
      <w:bookmarkEnd w:id="1"/>
      <w:r>
        <w:t>protokolu Nr. 2</w:t>
      </w:r>
    </w:p>
    <w:p w:rsidR="00E87B99" w:rsidRDefault="00E87B99" w:rsidP="002C6F28">
      <w:pPr>
        <w:spacing w:after="0" w:line="240" w:lineRule="auto"/>
        <w:ind w:left="284"/>
        <w:jc w:val="center"/>
        <w:outlineLvl w:val="0"/>
        <w:rPr>
          <w:rFonts w:eastAsia="Times New Roman"/>
          <w:b/>
          <w:szCs w:val="24"/>
        </w:rPr>
      </w:pPr>
    </w:p>
    <w:p w:rsidR="002C6F28" w:rsidRPr="001A5FEC" w:rsidRDefault="002C6F28" w:rsidP="002C6F28">
      <w:pPr>
        <w:widowControl w:val="0"/>
        <w:tabs>
          <w:tab w:val="right" w:pos="57"/>
        </w:tabs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E87B99" w:rsidRDefault="00FB5774" w:rsidP="00E87B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NENAUJO HIDRODINAMINIO</w:t>
      </w:r>
      <w:r w:rsidR="00E87B99">
        <w:rPr>
          <w:b/>
        </w:rPr>
        <w:t xml:space="preserve"> </w:t>
      </w:r>
      <w:r>
        <w:rPr>
          <w:b/>
        </w:rPr>
        <w:t>AUTOMOBILIO</w:t>
      </w:r>
      <w:r w:rsidR="00E87B99">
        <w:rPr>
          <w:b/>
        </w:rPr>
        <w:t xml:space="preserve"> PIRKIMO LIZINGO BŪDU</w:t>
      </w:r>
    </w:p>
    <w:p w:rsidR="00E87B99" w:rsidRDefault="00E87B99" w:rsidP="00E87B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SUPAPRASTINTO ATVIRO KONKURSO</w:t>
      </w:r>
    </w:p>
    <w:p w:rsidR="00E87B99" w:rsidRDefault="00E87B99" w:rsidP="00E87B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TECHNINĖS SPECIFIKACIJOS PROJEKTAS</w:t>
      </w:r>
    </w:p>
    <w:p w:rsidR="00E87B99" w:rsidRDefault="00E87B99" w:rsidP="00E87B9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</w:rPr>
      </w:pPr>
    </w:p>
    <w:p w:rsidR="00E87B99" w:rsidRDefault="00BF30FF" w:rsidP="00E87B99">
      <w:pPr>
        <w:shd w:val="clear" w:color="auto" w:fill="FFFFFF"/>
        <w:tabs>
          <w:tab w:val="left" w:pos="0"/>
        </w:tabs>
        <w:spacing w:after="0" w:line="240" w:lineRule="auto"/>
        <w:rPr>
          <w:b/>
        </w:rPr>
      </w:pPr>
      <w:r>
        <w:t>Siūloma</w:t>
      </w:r>
      <w:r w:rsidR="003025D7">
        <w:t>s</w:t>
      </w:r>
      <w:r w:rsidR="00E87B99">
        <w:t xml:space="preserve"> </w:t>
      </w:r>
      <w:r>
        <w:t>hidrodinamin</w:t>
      </w:r>
      <w:r w:rsidR="003025D7">
        <w:t>is</w:t>
      </w:r>
      <w:r>
        <w:t xml:space="preserve"> </w:t>
      </w:r>
      <w:r w:rsidR="003025D7">
        <w:t>automobilis</w:t>
      </w:r>
      <w:r>
        <w:t xml:space="preserve"> </w:t>
      </w:r>
      <w:r w:rsidR="00E87B99">
        <w:t>turi atitikti šiuos techninius reikalavimus:</w:t>
      </w:r>
    </w:p>
    <w:p w:rsidR="002C6F28" w:rsidRPr="001A5FEC" w:rsidRDefault="002C6F28" w:rsidP="002C6F28">
      <w:pPr>
        <w:widowControl w:val="0"/>
        <w:tabs>
          <w:tab w:val="right" w:pos="57"/>
        </w:tabs>
        <w:spacing w:after="0" w:line="240" w:lineRule="auto"/>
        <w:jc w:val="right"/>
        <w:rPr>
          <w:rFonts w:eastAsia="Times New Roman"/>
          <w:bCs/>
          <w:szCs w:val="24"/>
          <w:lang w:eastAsia="lt-LT"/>
        </w:rPr>
      </w:pPr>
      <w:r w:rsidRPr="001A5FEC">
        <w:rPr>
          <w:rFonts w:eastAsia="Times New Roman"/>
          <w:bCs/>
          <w:szCs w:val="24"/>
          <w:lang w:eastAsia="lt-LT"/>
        </w:rPr>
        <w:t>1 lentelė</w:t>
      </w:r>
    </w:p>
    <w:p w:rsidR="002C6F28" w:rsidRPr="001A5FEC" w:rsidRDefault="002C6F28" w:rsidP="002C6F28">
      <w:pPr>
        <w:widowControl w:val="0"/>
        <w:tabs>
          <w:tab w:val="right" w:pos="57"/>
        </w:tabs>
        <w:spacing w:after="0" w:line="240" w:lineRule="auto"/>
        <w:rPr>
          <w:rFonts w:eastAsia="Times New Roman"/>
          <w:b/>
          <w:bCs/>
          <w:szCs w:val="24"/>
          <w:lang w:eastAsia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233"/>
      </w:tblGrid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1A5FEC">
              <w:rPr>
                <w:rFonts w:eastAsia="Times New Roman"/>
                <w:b/>
                <w:sz w:val="20"/>
                <w:szCs w:val="20"/>
                <w:lang w:eastAsia="lt-LT"/>
              </w:rPr>
              <w:t xml:space="preserve">Eil. Nr. 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1A5FEC">
              <w:rPr>
                <w:rFonts w:eastAsia="Times New Roman"/>
                <w:b/>
                <w:sz w:val="20"/>
                <w:szCs w:val="20"/>
                <w:lang w:eastAsia="lt-LT"/>
              </w:rPr>
              <w:t>Techniniai reikalavimai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-108"/>
              </w:tabs>
              <w:spacing w:after="0" w:line="240" w:lineRule="auto"/>
              <w:ind w:right="-143" w:hanging="108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1A5FEC">
              <w:rPr>
                <w:rFonts w:eastAsia="Times New Roman"/>
                <w:b/>
                <w:sz w:val="20"/>
                <w:szCs w:val="20"/>
                <w:lang w:eastAsia="lt-LT"/>
              </w:rPr>
              <w:t>Pagrindimas (įrašyti „ATITINKA“/“NEATITINKA“</w:t>
            </w:r>
            <w:r w:rsidRPr="001A5FEC">
              <w:rPr>
                <w:rFonts w:eastAsia="Times New Roman"/>
                <w:b/>
                <w:color w:val="FF0000"/>
                <w:sz w:val="20"/>
                <w:szCs w:val="20"/>
                <w:lang w:eastAsia="lt-LT"/>
              </w:rPr>
              <w:t xml:space="preserve"> </w:t>
            </w:r>
            <w:r w:rsidRPr="001A5FEC">
              <w:rPr>
                <w:rFonts w:eastAsia="Times New Roman"/>
                <w:b/>
                <w:sz w:val="20"/>
                <w:szCs w:val="20"/>
                <w:lang w:eastAsia="lt-LT"/>
              </w:rPr>
              <w:t>ir, kur reikia, nurodyti konkrečius duomenis)</w:t>
            </w:r>
          </w:p>
        </w:tc>
      </w:tr>
      <w:tr w:rsidR="002C6F28" w:rsidRPr="001A5FEC" w:rsidTr="004F70E8">
        <w:tc>
          <w:tcPr>
            <w:tcW w:w="817" w:type="dxa"/>
            <w:shd w:val="clear" w:color="auto" w:fill="D9D9D9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1A5FEC">
              <w:rPr>
                <w:rFonts w:eastAsia="Times New Roman"/>
                <w:b/>
                <w:szCs w:val="24"/>
                <w:lang w:eastAsia="lt-LT"/>
              </w:rPr>
              <w:t>1.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1A5FEC">
              <w:rPr>
                <w:rFonts w:eastAsia="Times New Roman"/>
                <w:b/>
                <w:szCs w:val="24"/>
                <w:lang w:eastAsia="lt-LT"/>
              </w:rPr>
              <w:t>Bendri reikalavimai Prekei</w:t>
            </w: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Prekė turi būti </w:t>
            </w:r>
            <w:r>
              <w:rPr>
                <w:rFonts w:eastAsia="Times New Roman"/>
                <w:szCs w:val="24"/>
                <w:lang w:eastAsia="lt-LT"/>
              </w:rPr>
              <w:t>vientisa</w:t>
            </w:r>
            <w:r w:rsidRPr="001A5FEC">
              <w:rPr>
                <w:rFonts w:eastAsia="Times New Roman"/>
                <w:szCs w:val="24"/>
                <w:lang w:eastAsia="lt-LT"/>
              </w:rPr>
              <w:t>.</w:t>
            </w:r>
            <w:r>
              <w:rPr>
                <w:rFonts w:eastAsia="Times New Roman"/>
                <w:szCs w:val="24"/>
                <w:lang w:eastAsia="lt-LT"/>
              </w:rPr>
              <w:t xml:space="preserve"> Važiuoklės ir įrangos gamybos metai turi sutapti ir įranga negali būti permontuota ant kitos važiuoklės.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Prekė pagaminta ne anksčiau kaip 20</w:t>
            </w:r>
            <w:r>
              <w:rPr>
                <w:rFonts w:eastAsia="Times New Roman"/>
                <w:szCs w:val="24"/>
                <w:lang w:eastAsia="lt-LT"/>
              </w:rPr>
              <w:t>08</w:t>
            </w:r>
            <w:r w:rsidR="006B1005">
              <w:rPr>
                <w:rFonts w:eastAsia="Times New Roman"/>
                <w:szCs w:val="24"/>
                <w:lang w:eastAsia="lt-LT"/>
              </w:rPr>
              <w:t xml:space="preserve"> </w:t>
            </w:r>
            <w:r w:rsidRPr="001A5FEC">
              <w:rPr>
                <w:rFonts w:eastAsia="Times New Roman"/>
                <w:szCs w:val="24"/>
                <w:lang w:eastAsia="lt-LT"/>
              </w:rPr>
              <w:t>m.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Prekė turi būti tinkama registruoti ir eksploatuoti Lietuvoje bei atitikti Lietuvoje galiojančius Europos Sąjungos (gamybos ir saugos) įstatymus ir kt. teisės aktus.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-108"/>
              </w:tabs>
              <w:spacing w:after="0" w:line="240" w:lineRule="auto"/>
              <w:ind w:hanging="108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1.4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Prekė turi būti </w:t>
            </w:r>
            <w:r>
              <w:rPr>
                <w:rFonts w:eastAsia="Times New Roman"/>
                <w:szCs w:val="24"/>
                <w:lang w:eastAsia="lt-LT"/>
              </w:rPr>
              <w:t>surinkta ir pagaminta gamykloje, turinčioje kombinuotų hidrodinaminių mašinų gamybos patirtį. Nurodyti gamintoją.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rPr>
          <w:trHeight w:val="53"/>
        </w:trPr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1.5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Prekės prietaisų skalės turi būti metrinėje sistemoje.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1.6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Prekė turi atitikti saugos darbe ir eismo saugos reikalavimus. 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1.7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Tiekėjas turi turėti šio tipo automobilių prekybos patirtį. Pridėti pateiktų panašaus tipo kombinuotų hidrodinaminių automobilių sąrašą (ne mažiau kaip 5 vnt</w:t>
            </w:r>
            <w:r w:rsidR="001843EB">
              <w:rPr>
                <w:rFonts w:eastAsia="Times New Roman"/>
                <w:szCs w:val="24"/>
                <w:lang w:eastAsia="lt-LT"/>
              </w:rPr>
              <w:t>.</w:t>
            </w:r>
            <w:r>
              <w:rPr>
                <w:rFonts w:eastAsia="Times New Roman"/>
                <w:szCs w:val="24"/>
                <w:lang w:eastAsia="lt-LT"/>
              </w:rPr>
              <w:t>), nurodant klientus, pagrindinius prekės parametrus, automobilių nuotraukas.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1.8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Tiekėjas turi būti bent vieno kombinuotų hidrodinaminių automobilių gamintojo atstovas, turintis prekybos patirtį šio tipo automobiliais. Pridėti įrangos gamintojo atstovavimo raštą su vertimu į lietuvių kalbą.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1.9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Tiekėjas turi būti pajėgus atlikti kombinuotų hidrodinaminių automobilių servisą. Pridėti ne mažiau kaip 2 servisą galinčių atlikti darbuotojų sertifikatus dėl atstovaujamo gamintojo įgalioto serviso atlikimo su vertimu į lietuvių kalbą.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2C6F28" w:rsidRPr="001A5FEC" w:rsidTr="004F70E8">
        <w:tc>
          <w:tcPr>
            <w:tcW w:w="817" w:type="dxa"/>
          </w:tcPr>
          <w:p w:rsidR="002C6F28" w:rsidRPr="001A5FEC" w:rsidRDefault="002C6F28" w:rsidP="00AA14E4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1.10</w:t>
            </w:r>
          </w:p>
        </w:tc>
        <w:tc>
          <w:tcPr>
            <w:tcW w:w="6804" w:type="dxa"/>
            <w:shd w:val="clear" w:color="auto" w:fill="auto"/>
          </w:tcPr>
          <w:p w:rsidR="002C6F28" w:rsidRPr="001A5FEC" w:rsidRDefault="00287C38" w:rsidP="00287C38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9127C3">
              <w:rPr>
                <w:szCs w:val="24"/>
              </w:rPr>
              <w:t>Tiekėjas turi garantuoti, kad galės atlikti techninį aptarnavimą ir, prireikus nustatyti gedimą. Tam tikslui privaloma turėti sertifikuotą serviso inžinierių ir specialios paskirties serviso automobilį.</w:t>
            </w:r>
            <w:r>
              <w:rPr>
                <w:szCs w:val="24"/>
              </w:rPr>
              <w:t xml:space="preserve"> Prie pasiūlymo turi būti pridėtas tiekėjo patvirtinimas dėl turimo specialios paskirties serviso automobilio su jo nuotraukomis.</w:t>
            </w:r>
          </w:p>
        </w:tc>
        <w:tc>
          <w:tcPr>
            <w:tcW w:w="2233" w:type="dxa"/>
            <w:shd w:val="clear" w:color="auto" w:fill="auto"/>
          </w:tcPr>
          <w:p w:rsidR="002C6F28" w:rsidRPr="001A5FEC" w:rsidRDefault="002C6F28" w:rsidP="00AA14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1.11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Automobilio aukštis su įranga  ne didesnis kaip </w:t>
            </w:r>
            <w:r>
              <w:rPr>
                <w:rFonts w:eastAsia="Times New Roman"/>
                <w:szCs w:val="24"/>
                <w:lang w:eastAsia="lt-LT"/>
              </w:rPr>
              <w:t>40</w:t>
            </w:r>
            <w:r w:rsidRPr="001A5FEC">
              <w:rPr>
                <w:rFonts w:eastAsia="Times New Roman"/>
                <w:szCs w:val="24"/>
                <w:lang w:eastAsia="lt-LT"/>
              </w:rPr>
              <w:t>00 mm.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1.12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Automobilio </w:t>
            </w:r>
            <w:r>
              <w:rPr>
                <w:rFonts w:eastAsia="Times New Roman"/>
                <w:szCs w:val="24"/>
                <w:lang w:eastAsia="lt-LT"/>
              </w:rPr>
              <w:t>plo</w:t>
            </w:r>
            <w:r w:rsidRPr="001A5FEC">
              <w:rPr>
                <w:rFonts w:eastAsia="Times New Roman"/>
                <w:szCs w:val="24"/>
                <w:lang w:eastAsia="lt-LT"/>
              </w:rPr>
              <w:t>tis su įranga  ne didesnis kaip 2</w:t>
            </w:r>
            <w:r>
              <w:rPr>
                <w:rFonts w:eastAsia="Times New Roman"/>
                <w:szCs w:val="24"/>
                <w:lang w:eastAsia="lt-LT"/>
              </w:rPr>
              <w:t>5</w:t>
            </w:r>
            <w:r w:rsidRPr="001A5FEC">
              <w:rPr>
                <w:rFonts w:eastAsia="Times New Roman"/>
                <w:szCs w:val="24"/>
                <w:lang w:eastAsia="lt-LT"/>
              </w:rPr>
              <w:t>00 mm.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1.13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Tiekėjas savomis lėšomis privalo sudaryti galimybę Perkančiosios organizacijos atstovui apžiūrėti siūlomą automobilį prieš pasirašant Pirkimo – pardavimo sutartį.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1.14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Prekė turi būti pažymėta CE ženklu.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lastRenderedPageBreak/>
              <w:t>1.15</w:t>
            </w:r>
          </w:p>
        </w:tc>
        <w:tc>
          <w:tcPr>
            <w:tcW w:w="6804" w:type="dxa"/>
            <w:shd w:val="clear" w:color="auto" w:fill="auto"/>
          </w:tcPr>
          <w:p w:rsidR="00E832F3" w:rsidRPr="00B6446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Prekė turi būti pritaikyta darbui nuo -5</w:t>
            </w:r>
            <w:r>
              <w:rPr>
                <w:rFonts w:eastAsia="Times New Roman"/>
                <w:szCs w:val="24"/>
                <w:vertAlign w:val="superscript"/>
                <w:lang w:eastAsia="lt-LT"/>
              </w:rPr>
              <w:t>0</w:t>
            </w:r>
            <w:r>
              <w:rPr>
                <w:rFonts w:eastAsia="Times New Roman"/>
                <w:szCs w:val="24"/>
                <w:lang w:eastAsia="lt-LT"/>
              </w:rPr>
              <w:t>C iki +45</w:t>
            </w:r>
            <w:r>
              <w:rPr>
                <w:rFonts w:eastAsia="Times New Roman"/>
                <w:szCs w:val="24"/>
                <w:vertAlign w:val="superscript"/>
                <w:lang w:eastAsia="lt-LT"/>
              </w:rPr>
              <w:t>0</w:t>
            </w:r>
            <w:r>
              <w:rPr>
                <w:rFonts w:eastAsia="Times New Roman"/>
                <w:szCs w:val="24"/>
                <w:lang w:eastAsia="lt-LT"/>
              </w:rPr>
              <w:t>C temperatūroje.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1.16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Turi būti pridėtas įrangos testavimo sertifikatas ar analogiškas dokumentas.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  <w:shd w:val="clear" w:color="auto" w:fill="D9D9D9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B4252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B42526">
              <w:rPr>
                <w:rFonts w:eastAsia="Times New Roman"/>
                <w:b/>
                <w:szCs w:val="24"/>
                <w:lang w:eastAsia="lt-LT"/>
              </w:rPr>
              <w:t>Reikalavimai automobilio važiuoklei</w:t>
            </w: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Automobilis turi būti dviejų ašių 4x2 važiuoklės platforma.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t>Ašių apkrovos, svorio centras turi būti išdėstyti taip, kad automobilis būtų pritaikytas saugiai eksploatacijai.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Priekinės ir galinės ašių stabilizatoriai.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rPr>
          <w:trHeight w:val="154"/>
        </w:trPr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Automobilio </w:t>
            </w:r>
            <w:r>
              <w:rPr>
                <w:rFonts w:eastAsia="Times New Roman"/>
                <w:szCs w:val="24"/>
                <w:lang w:eastAsia="lt-LT"/>
              </w:rPr>
              <w:t>bendroji masė</w:t>
            </w:r>
            <w:r w:rsidRPr="001A5FEC">
              <w:rPr>
                <w:rFonts w:eastAsia="Times New Roman"/>
                <w:szCs w:val="24"/>
                <w:lang w:eastAsia="lt-LT"/>
              </w:rPr>
              <w:t xml:space="preserve"> ne mažiau kaip </w:t>
            </w:r>
            <w:r>
              <w:rPr>
                <w:rFonts w:eastAsia="Times New Roman"/>
                <w:szCs w:val="24"/>
                <w:lang w:eastAsia="lt-LT"/>
              </w:rPr>
              <w:t>18</w:t>
            </w:r>
            <w:r w:rsidRPr="001A5FEC">
              <w:rPr>
                <w:rFonts w:eastAsia="Times New Roman"/>
                <w:szCs w:val="24"/>
                <w:lang w:eastAsia="lt-LT"/>
              </w:rPr>
              <w:t>000 kg.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2.5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Ašys sustiprintos.</w:t>
            </w:r>
            <w:r>
              <w:rPr>
                <w:rFonts w:eastAsia="Times New Roman"/>
                <w:szCs w:val="24"/>
                <w:lang w:eastAsia="lt-LT"/>
              </w:rPr>
              <w:t xml:space="preserve"> Priekinės ašies apkrova ne mažesnė kaip 7500 kg, galinės ašies apkrova ne mažesnė kaip 11500 kg.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2.6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Automobilio naudinga apkrova ne mažiau kaip 8500 kg.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2.7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Varančiųjų ratų diferencialo blokavimo galimybė pravažumui padidinti.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2.8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Vairuojamųjų priekinių ratų mechanizmas su vairo stiprintuvu.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2.</w:t>
            </w:r>
            <w:r>
              <w:rPr>
                <w:rFonts w:eastAsia="Times New Roman"/>
                <w:szCs w:val="24"/>
                <w:lang w:eastAsia="lt-LT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Kabinoje </w:t>
            </w:r>
            <w:r>
              <w:rPr>
                <w:rFonts w:eastAsia="Times New Roman"/>
                <w:szCs w:val="24"/>
                <w:lang w:eastAsia="lt-LT"/>
              </w:rPr>
              <w:t>trys</w:t>
            </w:r>
            <w:r w:rsidRPr="001A5FEC">
              <w:rPr>
                <w:rFonts w:eastAsia="Times New Roman"/>
                <w:szCs w:val="24"/>
                <w:lang w:eastAsia="lt-LT"/>
              </w:rPr>
              <w:t xml:space="preserve"> sėdimos vietos (įskaitant vairuotojo).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2.10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Automobilio rida ne daugiau kaip 80.000 km</w:t>
            </w:r>
            <w:r w:rsidRPr="001A5FEC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Variklis dyzelinis. 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2.12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Variklio galingumas ne mažiau kaip 1</w:t>
            </w:r>
            <w:r>
              <w:rPr>
                <w:rFonts w:eastAsia="Times New Roman"/>
                <w:szCs w:val="24"/>
                <w:lang w:eastAsia="lt-LT"/>
              </w:rPr>
              <w:t>6</w:t>
            </w:r>
            <w:r w:rsidRPr="001A5FEC">
              <w:rPr>
                <w:rFonts w:eastAsia="Times New Roman"/>
                <w:szCs w:val="24"/>
                <w:lang w:eastAsia="lt-LT"/>
              </w:rPr>
              <w:t xml:space="preserve">0 </w:t>
            </w:r>
            <w:r>
              <w:rPr>
                <w:rFonts w:eastAsia="Times New Roman"/>
                <w:szCs w:val="24"/>
                <w:lang w:eastAsia="lt-LT"/>
              </w:rPr>
              <w:t>kW</w:t>
            </w:r>
            <w:r w:rsidRPr="001A5FEC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Triukšmo ir teršalų emisija atitinka ne žemesnius  kaip „EURO </w:t>
            </w:r>
            <w:r>
              <w:rPr>
                <w:rFonts w:eastAsia="Times New Roman"/>
                <w:szCs w:val="24"/>
                <w:lang w:eastAsia="lt-LT"/>
              </w:rPr>
              <w:t>4</w:t>
            </w:r>
            <w:r w:rsidRPr="001A5FEC">
              <w:rPr>
                <w:rFonts w:eastAsia="Times New Roman"/>
                <w:szCs w:val="24"/>
                <w:lang w:eastAsia="lt-LT"/>
              </w:rPr>
              <w:t>“ reikalavimus.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2.14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Mechaninė pavarų dėžė.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2.15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Vairas kairėje pusėje.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2.16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Ne mažiau kaip du geltoni signaliniai švyturėliai</w:t>
            </w:r>
            <w:r>
              <w:rPr>
                <w:rFonts w:eastAsia="Times New Roman"/>
                <w:szCs w:val="24"/>
                <w:lang w:eastAsia="lt-LT"/>
              </w:rPr>
              <w:t xml:space="preserve"> įrangos gale ir nemažiau kaip 2</w:t>
            </w:r>
            <w:r w:rsidRPr="001A5FEC">
              <w:rPr>
                <w:rFonts w:eastAsia="Times New Roman"/>
                <w:szCs w:val="24"/>
                <w:lang w:eastAsia="lt-LT"/>
              </w:rPr>
              <w:t xml:space="preserve"> geltoni signaliniai švyturėliai</w:t>
            </w:r>
            <w:r>
              <w:rPr>
                <w:rFonts w:eastAsia="Times New Roman"/>
                <w:szCs w:val="24"/>
                <w:lang w:eastAsia="lt-LT"/>
              </w:rPr>
              <w:t xml:space="preserve"> arba plafonas ant kabinos</w:t>
            </w:r>
            <w:r w:rsidRPr="001A5FEC">
              <w:rPr>
                <w:rFonts w:eastAsia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B42526" w:rsidTr="004F70E8">
        <w:tc>
          <w:tcPr>
            <w:tcW w:w="817" w:type="dxa"/>
            <w:shd w:val="clear" w:color="auto" w:fill="D9D9D9"/>
          </w:tcPr>
          <w:p w:rsidR="00E832F3" w:rsidRPr="00B4252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lt-LT"/>
              </w:rPr>
            </w:pPr>
            <w:r w:rsidRPr="00B42526">
              <w:rPr>
                <w:rFonts w:eastAsia="Times New Roman"/>
                <w:b/>
                <w:szCs w:val="24"/>
                <w:lang w:eastAsia="lt-LT"/>
              </w:rPr>
              <w:t>3.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B4252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B42526">
              <w:rPr>
                <w:rFonts w:eastAsia="Times New Roman"/>
                <w:b/>
                <w:szCs w:val="24"/>
                <w:lang w:eastAsia="lt-LT"/>
              </w:rPr>
              <w:t>Įranga</w:t>
            </w:r>
          </w:p>
        </w:tc>
      </w:tr>
      <w:tr w:rsidR="00E832F3" w:rsidRPr="001A5FEC" w:rsidTr="004F70E8">
        <w:tc>
          <w:tcPr>
            <w:tcW w:w="817" w:type="dxa"/>
            <w:shd w:val="clear" w:color="auto" w:fill="D9D9D9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b/>
                <w:i/>
                <w:szCs w:val="24"/>
                <w:lang w:eastAsia="lt-LT"/>
              </w:rPr>
            </w:pPr>
            <w:r w:rsidRPr="001A5FEC">
              <w:rPr>
                <w:rFonts w:eastAsia="Times New Roman"/>
                <w:b/>
                <w:i/>
                <w:szCs w:val="24"/>
                <w:lang w:eastAsia="lt-LT"/>
              </w:rPr>
              <w:t>3.1.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lt-LT"/>
              </w:rPr>
            </w:pPr>
            <w:r>
              <w:rPr>
                <w:rFonts w:eastAsia="Times New Roman"/>
                <w:b/>
                <w:i/>
                <w:szCs w:val="24"/>
                <w:lang w:eastAsia="lt-LT"/>
              </w:rPr>
              <w:t>Reikalavimai talpoms</w:t>
            </w: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3.1.1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Talpos tūris </w:t>
            </w:r>
            <w:r>
              <w:rPr>
                <w:rFonts w:eastAsia="Times New Roman"/>
                <w:szCs w:val="24"/>
                <w:lang w:eastAsia="lt-LT"/>
              </w:rPr>
              <w:t>ne mažiau kaip 8,</w:t>
            </w:r>
            <w:r w:rsidRPr="001A5FEC">
              <w:rPr>
                <w:rFonts w:eastAsia="Times New Roman"/>
                <w:szCs w:val="24"/>
                <w:lang w:eastAsia="lt-LT"/>
              </w:rPr>
              <w:t>0 m³.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3.1.2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Vandens talpa ne mažiau kaip 3,5 </w:t>
            </w:r>
            <w:r w:rsidRPr="001A5FEC">
              <w:rPr>
                <w:rFonts w:eastAsia="Times New Roman"/>
                <w:szCs w:val="24"/>
                <w:lang w:eastAsia="lt-LT"/>
              </w:rPr>
              <w:t>m³.</w:t>
            </w:r>
          </w:p>
        </w:tc>
        <w:tc>
          <w:tcPr>
            <w:tcW w:w="2233" w:type="dxa"/>
            <w:shd w:val="clear" w:color="auto" w:fill="auto"/>
          </w:tcPr>
          <w:p w:rsidR="00E832F3" w:rsidRPr="006C57CD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3.1.3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Dumblo talpa ne mažiau kaip 4,5 </w:t>
            </w:r>
            <w:r w:rsidRPr="001A5FEC">
              <w:rPr>
                <w:rFonts w:eastAsia="Times New Roman"/>
                <w:szCs w:val="24"/>
                <w:lang w:eastAsia="lt-LT"/>
              </w:rPr>
              <w:t>m³.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3.1.4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Talpa turi būti išverčiama.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 w:rsidRPr="001A5FEC">
              <w:rPr>
                <w:rFonts w:eastAsia="Times New Roman"/>
                <w:szCs w:val="24"/>
                <w:lang w:eastAsia="lt-LT"/>
              </w:rPr>
              <w:t>1.</w:t>
            </w:r>
            <w:r w:rsidRPr="001A5FEC">
              <w:rPr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Kabinoje turi būti indikatorius signalizuojantis apie tai, kad cisterna yra pakelta.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 w:rsidRPr="001A5FEC">
              <w:rPr>
                <w:rFonts w:eastAsia="Times New Roman"/>
                <w:szCs w:val="24"/>
                <w:lang w:eastAsia="lt-LT"/>
              </w:rPr>
              <w:t>1.</w:t>
            </w:r>
            <w:r w:rsidRPr="001A5FEC">
              <w:rPr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Talpoje įrengti vožtuvai, apsaugantys nuo jų perpildymo.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3.1.7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 xml:space="preserve">Talpos išpildymas atsparus vakuumui </w:t>
            </w:r>
            <w:r>
              <w:rPr>
                <w:rFonts w:eastAsia="Times New Roman"/>
                <w:szCs w:val="24"/>
                <w:lang w:eastAsia="lt-LT"/>
              </w:rPr>
              <w:t xml:space="preserve">iki -1 bar </w:t>
            </w:r>
            <w:r w:rsidRPr="001A5FEC">
              <w:rPr>
                <w:rFonts w:eastAsia="Times New Roman"/>
                <w:szCs w:val="24"/>
                <w:lang w:eastAsia="lt-LT"/>
              </w:rPr>
              <w:t>ir slėgiui</w:t>
            </w:r>
            <w:r>
              <w:rPr>
                <w:rFonts w:eastAsia="Times New Roman"/>
                <w:szCs w:val="24"/>
                <w:lang w:eastAsia="lt-LT"/>
              </w:rPr>
              <w:t xml:space="preserve"> iki 1 bar</w:t>
            </w:r>
            <w:r w:rsidRPr="001A5FEC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3.1.8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Hidrauliniu būdu atidaromas galinis dangtis su hidrauliniais užraktais ne mažiau kaip 4 vnt.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i/>
                <w:szCs w:val="24"/>
              </w:rPr>
            </w:pPr>
          </w:p>
        </w:tc>
      </w:tr>
      <w:tr w:rsidR="00E832F3" w:rsidRPr="001A5FEC" w:rsidTr="00D25826">
        <w:trPr>
          <w:trHeight w:val="324"/>
        </w:trPr>
        <w:tc>
          <w:tcPr>
            <w:tcW w:w="817" w:type="dxa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3.1.9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1A5FEC">
              <w:rPr>
                <w:szCs w:val="24"/>
              </w:rPr>
              <w:t>Turi būti galimybė vizualiai kontroliuoti talp</w:t>
            </w:r>
            <w:r>
              <w:rPr>
                <w:szCs w:val="24"/>
              </w:rPr>
              <w:t>ų</w:t>
            </w:r>
            <w:r w:rsidRPr="001A5FEC">
              <w:rPr>
                <w:szCs w:val="24"/>
              </w:rPr>
              <w:t xml:space="preserve"> užsipildymo lygį.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A3039C">
        <w:trPr>
          <w:trHeight w:val="324"/>
        </w:trPr>
        <w:tc>
          <w:tcPr>
            <w:tcW w:w="817" w:type="dxa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3.1.10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32F3" w:rsidRPr="001A5FEC" w:rsidRDefault="00E832F3" w:rsidP="00E832F3">
            <w:pPr>
              <w:tabs>
                <w:tab w:val="left" w:pos="545"/>
              </w:tabs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Turi būti įrengta sklendė sujungianti vandens ir dumblo talpas.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  <w:shd w:val="clear" w:color="auto" w:fill="D9D9D9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lt-LT"/>
              </w:rPr>
            </w:pPr>
            <w:r w:rsidRPr="001A5FEC">
              <w:rPr>
                <w:rFonts w:eastAsia="Times New Roman"/>
                <w:b/>
                <w:i/>
                <w:szCs w:val="24"/>
                <w:lang w:eastAsia="lt-LT"/>
              </w:rPr>
              <w:t>3.2.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B4252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lt-LT"/>
              </w:rPr>
            </w:pPr>
            <w:r w:rsidRPr="00B42526">
              <w:rPr>
                <w:rFonts w:eastAsia="Times New Roman"/>
                <w:b/>
                <w:i/>
                <w:szCs w:val="24"/>
                <w:lang w:eastAsia="lt-LT"/>
              </w:rPr>
              <w:t>Reikalavimai vakuuminei sistemai</w:t>
            </w: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3.2.1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 xml:space="preserve">Vakuuminio siurblio našumas </w:t>
            </w:r>
            <w:r>
              <w:rPr>
                <w:szCs w:val="24"/>
              </w:rPr>
              <w:t>privalo užtikrinti nepertraukiamą įrangos darbą dirbant visais gamintojo numatytais darbo režimais</w:t>
            </w:r>
            <w:r w:rsidRPr="001A5FEC">
              <w:rPr>
                <w:szCs w:val="24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3.2.2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Turi būti sumontuotas apsauginis vožtuvas, apsaugantis talpą nuo perteklinio vakuumo.</w:t>
            </w:r>
          </w:p>
        </w:tc>
        <w:tc>
          <w:tcPr>
            <w:tcW w:w="2233" w:type="dxa"/>
            <w:shd w:val="clear" w:color="auto" w:fill="auto"/>
          </w:tcPr>
          <w:p w:rsidR="00E832F3" w:rsidRPr="006C57CD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3.2.3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Siurbimo žarnos ilgis turi būti pakankamas siurbti iš 6 m gylio su greitu sujungimu  ir plieniniu siurbimo ežektoriumi.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3.2.4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Sudaromas vakuumas ne mažesnis kaip -0,6 bar.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3.2.4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Siurbimo ir išpylimo sklendės sumontuotos galinio dangčio apačioje  4“ (DN100).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3.2.5</w:t>
            </w:r>
          </w:p>
        </w:tc>
        <w:tc>
          <w:tcPr>
            <w:tcW w:w="6804" w:type="dxa"/>
            <w:shd w:val="clear" w:color="auto" w:fill="auto"/>
          </w:tcPr>
          <w:p w:rsidR="00E832F3" w:rsidRPr="006C3988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Siurbimo žarnos strėlė turi būti pasukama ne mažiau kaip 300</w:t>
            </w:r>
            <w:r>
              <w:rPr>
                <w:szCs w:val="24"/>
                <w:vertAlign w:val="superscript"/>
              </w:rPr>
              <w:t>0</w:t>
            </w:r>
            <w:r>
              <w:rPr>
                <w:szCs w:val="24"/>
              </w:rPr>
              <w:t xml:space="preserve"> kampu.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3.2.6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Pneumatinė strėlės siurbimo sklendė.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  <w:shd w:val="clear" w:color="auto" w:fill="D9D9D9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lt-LT"/>
              </w:rPr>
            </w:pPr>
            <w:r w:rsidRPr="001A5FEC">
              <w:rPr>
                <w:rFonts w:eastAsia="Times New Roman"/>
                <w:b/>
                <w:i/>
                <w:szCs w:val="24"/>
                <w:lang w:eastAsia="lt-LT"/>
              </w:rPr>
              <w:t>3.</w:t>
            </w:r>
            <w:r>
              <w:rPr>
                <w:rFonts w:eastAsia="Times New Roman"/>
                <w:b/>
                <w:i/>
                <w:szCs w:val="24"/>
                <w:lang w:eastAsia="lt-LT"/>
              </w:rPr>
              <w:t>3</w:t>
            </w:r>
            <w:r w:rsidRPr="001A5FEC">
              <w:rPr>
                <w:rFonts w:eastAsia="Times New Roman"/>
                <w:b/>
                <w:i/>
                <w:szCs w:val="24"/>
                <w:lang w:eastAsia="lt-LT"/>
              </w:rPr>
              <w:t>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B4252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lt-LT"/>
              </w:rPr>
            </w:pPr>
            <w:r w:rsidRPr="00B42526">
              <w:rPr>
                <w:rFonts w:eastAsia="Times New Roman"/>
                <w:b/>
                <w:i/>
                <w:szCs w:val="24"/>
                <w:lang w:eastAsia="lt-LT"/>
              </w:rPr>
              <w:t xml:space="preserve">Reikalavimai </w:t>
            </w:r>
            <w:r>
              <w:rPr>
                <w:rFonts w:eastAsia="Times New Roman"/>
                <w:b/>
                <w:i/>
                <w:szCs w:val="24"/>
                <w:lang w:eastAsia="lt-LT"/>
              </w:rPr>
              <w:t xml:space="preserve">aukšto slėgio </w:t>
            </w:r>
            <w:r w:rsidRPr="00B42526">
              <w:rPr>
                <w:rFonts w:eastAsia="Times New Roman"/>
                <w:b/>
                <w:i/>
                <w:szCs w:val="24"/>
                <w:lang w:eastAsia="lt-LT"/>
              </w:rPr>
              <w:t>sistemai</w:t>
            </w: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>
              <w:rPr>
                <w:szCs w:val="24"/>
              </w:rPr>
              <w:t>3</w:t>
            </w:r>
            <w:r w:rsidRPr="001A5FEC">
              <w:rPr>
                <w:szCs w:val="24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Aukšto slėgio</w:t>
            </w:r>
            <w:r w:rsidRPr="001A5FEC">
              <w:rPr>
                <w:szCs w:val="24"/>
              </w:rPr>
              <w:t xml:space="preserve"> siurblio našumas ne mažesnis kaip </w:t>
            </w:r>
            <w:r>
              <w:rPr>
                <w:szCs w:val="24"/>
              </w:rPr>
              <w:t>12</w:t>
            </w:r>
            <w:r w:rsidRPr="001A5FEC">
              <w:rPr>
                <w:szCs w:val="24"/>
              </w:rPr>
              <w:t xml:space="preserve">0 </w:t>
            </w:r>
            <w:r>
              <w:rPr>
                <w:szCs w:val="24"/>
              </w:rPr>
              <w:t>l</w:t>
            </w:r>
            <w:r w:rsidRPr="001A5FEC">
              <w:rPr>
                <w:szCs w:val="24"/>
              </w:rPr>
              <w:t>/</w:t>
            </w:r>
            <w:r>
              <w:rPr>
                <w:szCs w:val="24"/>
              </w:rPr>
              <w:t>min</w:t>
            </w:r>
            <w:r w:rsidRPr="001A5FEC">
              <w:rPr>
                <w:szCs w:val="24"/>
              </w:rPr>
              <w:t xml:space="preserve">, esant </w:t>
            </w:r>
            <w:r>
              <w:rPr>
                <w:szCs w:val="24"/>
              </w:rPr>
              <w:t>ne mažiau kaip 120 bar slėgiui</w:t>
            </w:r>
            <w:r w:rsidRPr="001A5FEC">
              <w:rPr>
                <w:szCs w:val="24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>
              <w:rPr>
                <w:szCs w:val="24"/>
              </w:rPr>
              <w:t>3</w:t>
            </w:r>
            <w:r w:rsidRPr="001A5FEC">
              <w:rPr>
                <w:szCs w:val="24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 xml:space="preserve">Turi būti sumontuotas apsauginis vožtuvas, apsaugantis talpą nuo </w:t>
            </w:r>
            <w:r>
              <w:rPr>
                <w:szCs w:val="24"/>
              </w:rPr>
              <w:t>viršslėgio</w:t>
            </w:r>
            <w:r w:rsidRPr="001A5FEC">
              <w:rPr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6C57CD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1A5FEC">
              <w:rPr>
                <w:szCs w:val="24"/>
              </w:rPr>
              <w:t>.3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Hidraulinė aukšto slėgio žarnos ritė talpinanti ne mažiau kaip 100 m ¾“ (DN19) aukšto slėgio žarnos.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>
              <w:rPr>
                <w:szCs w:val="24"/>
              </w:rPr>
              <w:t>3</w:t>
            </w:r>
            <w:r w:rsidRPr="001A5FEC">
              <w:rPr>
                <w:szCs w:val="24"/>
              </w:rPr>
              <w:t>.4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Aukšto slėgio žarnos ritė pritvirtinta prie galinio dangčio.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3.3.5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Aukšto slėgio žarnos ritė turi būti hidrauliškai pasukama.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3.3.6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Papildoma aukšto slėgio žarnos ritė talpinanti ne mažiau kaip 30 m ½“ (DN13) aukšto slėgio žarnos.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3.3.7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Turi būti įspėjimo signalas dėl sumažėjusio vandens kiekio talpoje.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lt-LT"/>
              </w:rPr>
            </w:pPr>
          </w:p>
        </w:tc>
      </w:tr>
      <w:tr w:rsidR="00E832F3" w:rsidRPr="001A5FEC" w:rsidTr="004F70E8">
        <w:trPr>
          <w:trHeight w:val="192"/>
        </w:trPr>
        <w:tc>
          <w:tcPr>
            <w:tcW w:w="817" w:type="dxa"/>
            <w:shd w:val="clear" w:color="auto" w:fill="D9D9D9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b/>
                <w:i/>
                <w:szCs w:val="24"/>
              </w:rPr>
            </w:pPr>
            <w:r w:rsidRPr="001A5FEC">
              <w:rPr>
                <w:b/>
                <w:i/>
                <w:szCs w:val="24"/>
              </w:rPr>
              <w:t>3.</w:t>
            </w:r>
            <w:r>
              <w:rPr>
                <w:b/>
                <w:i/>
                <w:szCs w:val="24"/>
              </w:rPr>
              <w:t>4</w:t>
            </w:r>
            <w:r w:rsidRPr="001A5FEC">
              <w:rPr>
                <w:b/>
                <w:i/>
                <w:szCs w:val="24"/>
              </w:rPr>
              <w:t>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B42526" w:rsidRDefault="00E832F3" w:rsidP="00E832F3">
            <w:pPr>
              <w:spacing w:after="0" w:line="240" w:lineRule="auto"/>
              <w:rPr>
                <w:b/>
                <w:i/>
                <w:szCs w:val="24"/>
              </w:rPr>
            </w:pPr>
            <w:r w:rsidRPr="00B42526">
              <w:rPr>
                <w:b/>
                <w:i/>
                <w:szCs w:val="24"/>
              </w:rPr>
              <w:t>Kiti reikalavimai</w:t>
            </w:r>
          </w:p>
        </w:tc>
      </w:tr>
      <w:tr w:rsidR="00E832F3" w:rsidRPr="001A5FEC" w:rsidTr="004F70E8">
        <w:trPr>
          <w:trHeight w:val="272"/>
        </w:trPr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>
              <w:rPr>
                <w:szCs w:val="24"/>
              </w:rPr>
              <w:t>4</w:t>
            </w:r>
            <w:r w:rsidRPr="001A5FEC">
              <w:rPr>
                <w:szCs w:val="24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lt-LT"/>
              </w:rPr>
              <w:t>Spalvota galinio vaizdo kamera su ekranu kabinoje</w:t>
            </w:r>
            <w:r w:rsidRPr="001A5FEC">
              <w:rPr>
                <w:rFonts w:eastAsia="Times New Roman"/>
                <w:szCs w:val="24"/>
                <w:lang w:eastAsia="lt-LT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3.</w:t>
            </w:r>
            <w:r>
              <w:rPr>
                <w:szCs w:val="24"/>
              </w:rPr>
              <w:t>4</w:t>
            </w:r>
            <w:r w:rsidRPr="001A5FEC">
              <w:rPr>
                <w:szCs w:val="24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snapToGri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1A5FEC">
              <w:rPr>
                <w:szCs w:val="24"/>
              </w:rPr>
              <w:t>Vieta papildomoms</w:t>
            </w:r>
            <w:r>
              <w:rPr>
                <w:szCs w:val="24"/>
              </w:rPr>
              <w:t xml:space="preserve"> žarnoms susidėti, įrankiams -</w:t>
            </w:r>
            <w:r w:rsidRPr="001A5FEC">
              <w:rPr>
                <w:szCs w:val="24"/>
              </w:rPr>
              <w:t xml:space="preserve"> rakinamos įrankių  dėžės</w:t>
            </w:r>
            <w:r>
              <w:rPr>
                <w:szCs w:val="24"/>
              </w:rPr>
              <w:t xml:space="preserve"> pagamintos iš korozijai atsparaus metalo</w:t>
            </w:r>
            <w:r w:rsidRPr="001A5FEC">
              <w:rPr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3.</w:t>
            </w:r>
            <w:r>
              <w:rPr>
                <w:rFonts w:eastAsia="Times New Roman"/>
                <w:szCs w:val="24"/>
                <w:lang w:eastAsia="lt-LT"/>
              </w:rPr>
              <w:t>4</w:t>
            </w:r>
            <w:r w:rsidRPr="001A5FEC">
              <w:rPr>
                <w:rFonts w:eastAsia="Times New Roman"/>
                <w:szCs w:val="24"/>
                <w:lang w:eastAsia="lt-LT"/>
              </w:rPr>
              <w:t>.3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t>S</w:t>
            </w:r>
            <w:r w:rsidRPr="001A5FEC">
              <w:t xml:space="preserve">umontuotas </w:t>
            </w:r>
            <w:r>
              <w:t>p</w:t>
            </w:r>
            <w:r w:rsidRPr="001A5FEC">
              <w:t>rožek</w:t>
            </w:r>
            <w:r>
              <w:t xml:space="preserve">torius darbo vietos </w:t>
            </w:r>
            <w:r w:rsidRPr="000F2E82">
              <w:t xml:space="preserve">apšvietimui </w:t>
            </w:r>
            <w:r>
              <w:t>automobilio</w:t>
            </w:r>
            <w:r w:rsidRPr="000F2E82">
              <w:t xml:space="preserve"> gale</w:t>
            </w:r>
            <w:r>
              <w:t xml:space="preserve"> ant aukšto slėgio žarnos ritės ir automobilio šone</w:t>
            </w:r>
            <w:r w:rsidRPr="000F2E82">
              <w:t>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3.4.4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Ant automobilio sumontuotas papildomas pneumatinis ar lygiavertis įrenginys šulinių dangčių pakėlimui.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3.4.5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Rankų plovimo įrenginys su vandens pašildymu.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3.4.6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Atbulinės eigos garsinis signalas.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3.4.7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Įrengtas laikiklis apsauginiams kūgeliams.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3.4.8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Spaustuvas sumontuotas galinėje automobilio dalyje.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3.4.9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Vandens užpildymo žarna su pajungimu prie hidrantų.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>3.4.10</w:t>
            </w: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  <w:r>
              <w:t>Plovimo pistoletas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</w:p>
        </w:tc>
        <w:tc>
          <w:tcPr>
            <w:tcW w:w="6804" w:type="dxa"/>
            <w:shd w:val="clear" w:color="auto" w:fill="auto"/>
          </w:tcPr>
          <w:p w:rsidR="00E832F3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</w:pP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  <w:tr w:rsidR="00E832F3" w:rsidRPr="001A5FEC" w:rsidTr="004F70E8">
        <w:tc>
          <w:tcPr>
            <w:tcW w:w="817" w:type="dxa"/>
            <w:shd w:val="clear" w:color="auto" w:fill="D9D9D9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szCs w:val="24"/>
                <w:lang w:eastAsia="lt-LT"/>
              </w:rPr>
            </w:pPr>
            <w:r w:rsidRPr="001A5FEC">
              <w:rPr>
                <w:rFonts w:eastAsia="Times New Roman"/>
                <w:b/>
                <w:szCs w:val="24"/>
                <w:lang w:eastAsia="lt-LT"/>
              </w:rPr>
              <w:t>4.</w:t>
            </w:r>
          </w:p>
        </w:tc>
        <w:tc>
          <w:tcPr>
            <w:tcW w:w="9037" w:type="dxa"/>
            <w:gridSpan w:val="2"/>
            <w:shd w:val="clear" w:color="auto" w:fill="D9D9D9"/>
          </w:tcPr>
          <w:p w:rsidR="00E832F3" w:rsidRPr="00B42526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b/>
                <w:szCs w:val="24"/>
                <w:lang w:eastAsia="lt-LT"/>
              </w:rPr>
            </w:pPr>
            <w:r>
              <w:rPr>
                <w:rFonts w:eastAsia="Times New Roman"/>
                <w:b/>
                <w:szCs w:val="24"/>
                <w:lang w:eastAsia="lt-LT"/>
              </w:rPr>
              <w:t>Apmokymas</w:t>
            </w:r>
          </w:p>
        </w:tc>
      </w:tr>
      <w:tr w:rsidR="00E832F3" w:rsidRPr="001A5FEC" w:rsidTr="004F70E8">
        <w:tc>
          <w:tcPr>
            <w:tcW w:w="817" w:type="dxa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rPr>
                <w:rFonts w:eastAsia="Times New Roman"/>
                <w:szCs w:val="24"/>
                <w:lang w:eastAsia="lt-LT"/>
              </w:rPr>
            </w:pPr>
            <w:r w:rsidRPr="001A5FEC">
              <w:rPr>
                <w:rFonts w:eastAsia="Times New Roman"/>
                <w:szCs w:val="24"/>
                <w:lang w:eastAsia="lt-LT"/>
              </w:rPr>
              <w:t>Tiekėjas apmoko ne mažiau kaip tris darbuotojus dirbti automobiliu ir įranga  teoriniu ir praktiniu būdu Lietuvoje. Apmokymo trukmė ne mažiau kaip viena darbo diena Perkančiosios organizacijos gamybinėje bazėje.</w:t>
            </w:r>
          </w:p>
        </w:tc>
        <w:tc>
          <w:tcPr>
            <w:tcW w:w="2233" w:type="dxa"/>
            <w:shd w:val="clear" w:color="auto" w:fill="auto"/>
          </w:tcPr>
          <w:p w:rsidR="00E832F3" w:rsidRPr="001A5FEC" w:rsidRDefault="00E832F3" w:rsidP="00E832F3">
            <w:pPr>
              <w:widowControl w:val="0"/>
              <w:tabs>
                <w:tab w:val="right" w:pos="57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lt-LT"/>
              </w:rPr>
            </w:pPr>
          </w:p>
        </w:tc>
      </w:tr>
    </w:tbl>
    <w:p w:rsidR="00764613" w:rsidRDefault="00764613" w:rsidP="00764613">
      <w:pPr>
        <w:jc w:val="center"/>
        <w:rPr>
          <w:b/>
          <w:szCs w:val="24"/>
        </w:rPr>
      </w:pPr>
    </w:p>
    <w:p w:rsidR="00764613" w:rsidRDefault="00764613" w:rsidP="00764613">
      <w:pPr>
        <w:jc w:val="center"/>
        <w:rPr>
          <w:b/>
          <w:szCs w:val="24"/>
        </w:rPr>
      </w:pPr>
      <w:r>
        <w:rPr>
          <w:b/>
          <w:szCs w:val="24"/>
        </w:rPr>
        <w:t>Teikiamo lizingo sąlygų reikalavimai</w:t>
      </w:r>
    </w:p>
    <w:p w:rsidR="00764613" w:rsidRDefault="00764613" w:rsidP="00764613">
      <w:pPr>
        <w:jc w:val="center"/>
        <w:rPr>
          <w:b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9269"/>
      </w:tblGrid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pacing w:after="0" w:line="240" w:lineRule="auto"/>
              <w:jc w:val="center"/>
            </w:pPr>
            <w:r>
              <w:rPr>
                <w:b/>
                <w:szCs w:val="24"/>
              </w:rPr>
              <w:t>Reikalavimai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pacing w:after="0" w:line="240" w:lineRule="auto"/>
              <w:jc w:val="both"/>
            </w:pPr>
            <w:r>
              <w:rPr>
                <w:szCs w:val="24"/>
              </w:rPr>
              <w:t>Sudaroma pirkimo sutartis turi atitikti laimėjusio tiekėjo pasiūlymą ir šias Sąlygas.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>Perkama</w:t>
            </w:r>
            <w:r w:rsidR="001843EB">
              <w:rPr>
                <w:szCs w:val="24"/>
              </w:rPr>
              <w:t>s</w:t>
            </w:r>
            <w:r>
              <w:rPr>
                <w:szCs w:val="24"/>
              </w:rPr>
              <w:t xml:space="preserve"> viena</w:t>
            </w:r>
            <w:r w:rsidR="001843EB">
              <w:rPr>
                <w:szCs w:val="24"/>
              </w:rPr>
              <w:t>s</w:t>
            </w:r>
            <w:r>
              <w:rPr>
                <w:szCs w:val="24"/>
              </w:rPr>
              <w:t xml:space="preserve"> nenauja</w:t>
            </w:r>
            <w:r w:rsidR="001843EB">
              <w:rPr>
                <w:szCs w:val="24"/>
              </w:rPr>
              <w:t>s</w:t>
            </w:r>
            <w:r>
              <w:rPr>
                <w:szCs w:val="24"/>
              </w:rPr>
              <w:t xml:space="preserve"> hidrodinamin</w:t>
            </w:r>
            <w:r w:rsidR="001843EB">
              <w:rPr>
                <w:szCs w:val="24"/>
              </w:rPr>
              <w:t>is</w:t>
            </w:r>
            <w:r>
              <w:rPr>
                <w:szCs w:val="24"/>
              </w:rPr>
              <w:t xml:space="preserve"> </w:t>
            </w:r>
            <w:r w:rsidR="001843EB">
              <w:rPr>
                <w:szCs w:val="24"/>
              </w:rPr>
              <w:t>automobilis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lizingu</w:t>
            </w:r>
            <w:r>
              <w:rPr>
                <w:szCs w:val="24"/>
              </w:rPr>
              <w:t>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 xml:space="preserve">Nustatoma fiksuota sutarties kaina 5 metams, kuri nebus keičiama. Pasikeitus PVM mokesčio tarifui sutarties kaina bus perskaičiuojama (t.y. kaina be pridėtinės vertės mokesčio nekeičiama, keičiamas tik vadovaujantis Pridėtinės vertės mokesčio įstatymo nustatyta tvarka apskaičiuotas </w:t>
            </w:r>
            <w:r>
              <w:rPr>
                <w:szCs w:val="24"/>
              </w:rPr>
              <w:lastRenderedPageBreak/>
              <w:t xml:space="preserve">mokesčio tarifas). Sutarties šalys perskaičiuotą kainą įformina sutarties šalių atstovų pasirašomu protokolu. 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>Pradinis įnašas – ne daugiau kaip 20 proc.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nuo lizinguojamo objekto vertės.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>Mokėjimai vykdomi kas mėnesį.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>Palūkanos – fiksuotos, 5 metai eurais.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>Mėnesio įmokos apskaičiavimo metodas – linijinis (palūkanos skaičiuojamos nuo lizingo likučio).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tabs>
                <w:tab w:val="left" w:pos="14"/>
              </w:tabs>
              <w:spacing w:after="0" w:line="240" w:lineRule="auto"/>
              <w:jc w:val="both"/>
            </w:pPr>
            <w:r>
              <w:rPr>
                <w:szCs w:val="24"/>
              </w:rPr>
              <w:t>Būtina pateikti lizingo grąžinimo grafiką.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pacing w:after="0" w:line="240" w:lineRule="auto"/>
            </w:pPr>
            <w:r>
              <w:rPr>
                <w:szCs w:val="24"/>
              </w:rPr>
              <w:t>Visi mokesčiai (įskaitant, bet neapsiribojant sutarties aptarnavimo, sutarties keitimo, sutarties nutraukimo, sutarties pasirašymo mokesčius) turi būti įskaičiuoti į tiekėjo siūlomą lizingo kainą.</w:t>
            </w:r>
          </w:p>
        </w:tc>
      </w:tr>
      <w:tr w:rsidR="00764613" w:rsidTr="00307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613" w:rsidRDefault="00764613" w:rsidP="003074FA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9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613" w:rsidRPr="004B3386" w:rsidRDefault="00764613" w:rsidP="003074FA">
            <w:pPr>
              <w:spacing w:after="0" w:line="240" w:lineRule="auto"/>
              <w:rPr>
                <w:szCs w:val="24"/>
              </w:rPr>
            </w:pPr>
            <w:r w:rsidRPr="004B3386">
              <w:rPr>
                <w:szCs w:val="24"/>
              </w:rPr>
              <w:t>Vėlesnis išsimokėtinai parduotos Prekės kainos pasikeitimas neturi įtakos Šalių tarpusavio atsiskaitymui</w:t>
            </w:r>
          </w:p>
        </w:tc>
      </w:tr>
    </w:tbl>
    <w:p w:rsidR="005235A0" w:rsidRDefault="005235A0"/>
    <w:sectPr w:rsidR="005235A0" w:rsidSect="002C6F2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28"/>
    <w:rsid w:val="001843EB"/>
    <w:rsid w:val="00211FDB"/>
    <w:rsid w:val="0024310D"/>
    <w:rsid w:val="00287C38"/>
    <w:rsid w:val="002C6F28"/>
    <w:rsid w:val="003025D7"/>
    <w:rsid w:val="003F1A16"/>
    <w:rsid w:val="004234ED"/>
    <w:rsid w:val="00497D5D"/>
    <w:rsid w:val="004B3386"/>
    <w:rsid w:val="004F70E8"/>
    <w:rsid w:val="005235A0"/>
    <w:rsid w:val="00631D47"/>
    <w:rsid w:val="006B1005"/>
    <w:rsid w:val="006C3988"/>
    <w:rsid w:val="00764613"/>
    <w:rsid w:val="007A2E63"/>
    <w:rsid w:val="00BF30FF"/>
    <w:rsid w:val="00E832F3"/>
    <w:rsid w:val="00E87B99"/>
    <w:rsid w:val="00F063C1"/>
    <w:rsid w:val="00F216D5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45CA"/>
  <w15:chartTrackingRefBased/>
  <w15:docId w15:val="{64AB09B1-388E-4CB0-B5A0-237A8DF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C6F2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6F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5103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Bagdanavicius</dc:creator>
  <cp:keywords/>
  <dc:description/>
  <cp:lastModifiedBy>Samsung</cp:lastModifiedBy>
  <cp:revision>16</cp:revision>
  <cp:lastPrinted>2017-05-08T08:07:00Z</cp:lastPrinted>
  <dcterms:created xsi:type="dcterms:W3CDTF">2017-06-16T12:27:00Z</dcterms:created>
  <dcterms:modified xsi:type="dcterms:W3CDTF">2017-11-07T07:36:00Z</dcterms:modified>
</cp:coreProperties>
</file>